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19</w:t>
      </w:r>
    </w:p>
    <w:p>
      <w:r>
        <w:t>Bundesgericht (BGE), 2000-02-21, DE</w:t>
      </w:r>
    </w:p>
    <w:p>
      <w:r>
        <w:rPr>
          <w:b/>
        </w:rPr>
        <w:t xml:space="preserve">Quelle: </w:t>
      </w:r>
      <w:r>
        <w:t>https://mcp.opencaselaw.ch/entscheid/bge_126 I 19</w:t>
      </w:r>
    </w:p>
    <w:p>
      <w:r>
        <w:t>FR: ATF 126 I 19</w:t>
      </w:r>
    </w:p>
    <w:p>
      <w:r>
        <w:t>IT: DTF 126 I 19</w:t>
      </w:r>
    </w:p>
    <w:p>
      <w:pPr>
        <w:pStyle w:val="Heading2"/>
      </w:pPr>
      <w:r>
        <w:t>Regeste</w:t>
      </w:r>
    </w:p>
    <w:p>
      <w:r>
        <w:t>Regeste Anspruch auf rechtliches Gehör (Art. 4 aBV, Art. 29 Abs. 2 BV); von der Anklage abweichende rechtliche Würdigung im Strafurteil. Direkt gestützt auf den Anspruch auf rechtliches Gehör hat ein Angeklagter Anspruch darauf, zu einer von der Anklage abweichenden rechtlichen Würdigung des ihm vorgeworfenen Sachverhalts Stellung nehmen zu können, wenn eine schärfere Strafe droht (E. 2c/aa; Bestätigung der Rechtsprechung); Gleiches gilt, wenn der Betroffene wegen eines anderen Straftatbestands als in der Anklage beantragt verurteilt werden soll und er nicht mit der neuen Würdigung rechnen musste, es sei denn, eine Anhörung hätte keine Auswirkung auf die Ausübung seiner Verteidigungsrechte haben können (E. 2d/bb; Präzisierung der Rechtsprechung). Eine Bestrafung wegen Verletzung einer anderen Verkehrsregel ist eine Verurteilung wegen eines anderen Straftatbestands (E. 2d/aa). Damit musste der Angeklagte im vorliegenden Fall nicht rechnen und dies hatte Auswirkungen auf die Ausübung seiner Verteidigungsrechte (E. 2e).</w:t>
      </w:r>
    </w:p>
    <w:p>
      <w:pPr>
        <w:pStyle w:val="Heading2"/>
      </w:pPr>
      <w:r>
        <w:t>Erwägungen</w:t>
      </w:r>
    </w:p>
    <w:p>
      <w:r>
        <w:rPr>
          <w:b/>
        </w:rPr>
        <w:t>E. 2</w:t>
      </w:r>
    </w:p>
    <w:p>
      <w:r>
        <w:t>Der Beschwerdeführer rügt, das angefochtene Urteil verletze den Anklagegrundsatz. Er sei wegen Fahrens mit nicht angemessener Geschwindigkeit verurteilt worden, obwohl der Staatsanwalt ausdrücklich festgehalten habe, dieser Vorwurf könne ihm nicht gemacht werden, und er nie Anlass gehabt habe, sich zu diesem Vorwurf zu äussern. a) 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(SR 0.101)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(vgl. NIKLAUS SCHMID, Strafprozessrecht, 3. Auflage, 1997, S. 44; ARMAND MEYER, Die Bindung des Strafrichters an die eingeklagte Tat (Tatidentität), 1972, S. 10 f.; so auch ausdrücklich Art. 124 Abs. 1 der Strafprozessordnung des Kantons Obwalden vom 9. März 1973 [StPO/OW; LB XIII, 185]). Ein Anspruch des Betroffenen, vor Erlass eines belastenden Entscheids angehört zu werden, besteht jedoch auch unabhängig vom Anklagegrundsatz. Dieser Anspruch auf rechtliches Gehör floss bisher aus Art. 4 aBV und ist jetzt in Art. 29 Abs. 2 der am 1. Januar 2000 in Kraft getretenen neuen Bundesverfassung vom 18. April BGE 126 I 19 S. 22 1999 (BV) ausdrücklich gewährleistet. Sein Umfang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b) Art. 124 Abs. 2 StPO /OW sieht vor, dass eine Verurteilung des Angeklagten aufgrund schärferer Strafbestimmungen als der in der Anklageschrift angerufenen nur erfolgen darf, wenn der Angeklagte vorher darauf hingewiesen worden ist und die Gelegenheit erhalten hat, sich dazu zu äussern. Das Obergericht hält im Ergebnis zu Recht fest, dass diese Bestimmung nicht auf die Verurteilung des Beschwerdeführers anwendbar sei. Er wurde wie von der Staatsanwaltschaft beantragt nach Art. 90 Abs. 1 SVG verurteilt, und zwar wie schon vom Kantonsgerichtspräsidenten zu einer Busse von Fr. 100.-. Auch wiegt eine Verletzung von Art. 32 Abs. 1 SVG , wegen der er schliesslich bestraft wurde, nicht schwerer als eine solche von Art. 26 SVG oder Art. 9 Abs. 2 VRV , die vor dem Kantonsgerichtspräsidenten und nach der Anklageschrift zur Diskussion standen. c) Es fragt sich somit, ob ein Angeklagter direkt aufgrund des Anspruchs auf rechtliches Gehör ein Anrecht hat, vor einer Verurteilung gemäss anderer als der von der Anklagebehörde genannten Strafbestimmungen zu dieser Veränderung Stellung nehmen zu können. aa) Dies ist nach der bundesgerichtlichen Rechtsprechung zunächst dann der Fall, wenn das Gericht den eingeklagten Sachverhalt unter eine schärfere Strafbestimmung oder zusätzlich unter einen weiteren Straftatbestand subsumieren und dies straferhöhend berücksichtigen will (vgl. unveröffentlichter Entscheid des Bundesgerichts vom 5. Juli 1985 i.S. S., E. 3). In BGE 116 Ia 455 E. 3cc S. 458 hat das Bundesgericht darüber hinaus verlangt, ein Angeschuldigter müsse zur beabsichtigten rechtlichen Würdigung angehört werden, wenn sich das Gericht auf juristische Argumente zu stützen gedenke, die ihm nicht bekannt seien und mit deren Heranziehen er nicht rechnen musste. Wieweit sich dies aus dem Anklagegrundsatz ergibt, wurde offen gelassen, da es jedenfalls aus dem Anspruch auf rechtliches Gehör hergeleitet werden könne (vgl. allgemein zum Anspruch auf rechtliches Gehör zu Rechtsfragen BGE 124 I 49 E. 3c S. 52; BGE 123 I 63 E. 2d S. 69 mit Hinweis). BGE 126 I 19 S. 23 bb) Einen Anspruch des Angeschuldigten, vor einer Änderung der rechtlichen Würdigung seines Verhaltens angehört zu werden, hat auch die Europäische Kommission für Menschenrechte (EKMR) auf Grund von Art. 6 Ziff. 3 lit. a EMRK in einem Fall bejaht, der dann vor dem EGMR gütlich beigelegt wurde (vgl. Bericht der EKMR vom 16. März 1989 i.S. Chichlian und Ekindjian c. Frankreich, Serie A, Band 162 B, Beilage, Ziff. 64 f.). Zahlreiche Strafprozessordnungen sehen dies ebenfalls ausdrücklich vor (vgl. etwa Art. 170 BStP [SR 312.0], Art. 148 Abs. 2 des Militärstrafprozesses vom 23. März 1979 [MStP; SR 322.1]; Art. 168 Abs. 2 StPO /SG, Art. 302 StrV/BE, § 163 Abs. 2 StPO /AG, § 183 StPO /LU, § 96 Abs. 3 StPO /SZ, § 116 StPO /SO, § 170 Abs. 4 StPO /BL, § 127 Abs. 2 StPO /BS; Art. 135 Abs. 1 StPO /VS, Art. 354 Abs. 1 StPO /VD, Art. 211 Abs. 1 StPO /NE, Art. 250 Abs. 1 StPO /TI; ebenso § 265 Abs. 1 der deutschen, § 262 der österreichischen und Art. 423 Abs. 1 der italienischen Strafprozessordnung). Nach anderen Strafprozessordnungen ist wie nach derjenigen des Kantons Obwalden dem Angeklagten nur dann Gelegenheit zur Stellungnahme zu geben, wenn eine Verurteilung auf Grund "schärferer Strafbestimmungen" als der in der Anklage angerufenen erfolgen soll (vgl. etwa § 185 Abs. 2 StPO /ZH, § 276 Abs. 2 StPO /SH, Art. 129 Abs. 2 StPO /GL, Art. 125 Abs. 4 StPO /GR, Art. 166 Abs. 2 StPO /AR). In der kantonalen Rechtsprechung dazu und der Lehre ist jedoch ebenfalls anerkannt, dass auf Grund des Anspruchs des Angeklagten auf rechtliches Gehör eine Anhörung auch stattzufinden habe, wenn die neu zur Anwendung vorgesehene Bestimmung keine höhere Strafdrohung vorsehe (vgl. JÖRG REHBERG, Der Anklagegrundsatz und das Fahrlässigkeitsdelikt, in: Festschrift 125 Jahre Kassationsgericht des Kantons Zürich, 2000, S. 408, Fn. 3; Entscheid des Zürcher Kassationsgerichts vom 3. September 1985, ZR 84 [1985] Nr. 134 und implizit dessen Entscheid vom 11. Januar 1985, a.a.O., Nr. 74). d) aa) Im vorliegenden Fall wurde das Verhalten des Beschwerdeführers unter einen anderen Tatbestand subsumiert als gemäss der Anklage, ohne dass die veränderte obergerichtliche Würdigung zu einer Erhöhung der Strafe geführt hätte (vgl. vorne E. 2b). Zwar erfolgte die Verurteilung wie von der Staatsanwaltschaft beantragt gemäss Art. 90 Abs. 1 SVG . Bei dieser Bestimmung handelt es sich jedoch um eine Blankettstrafnorm, so dass die durch sie strafbewehrte Verkehrsregel die rechtliche Subsumtion des Sachverhalts darstellt (ähnlich die EKMR in ihrem Bericht zum Fall Chichlian und Ekindjian, a.a.O., Ziff. 58). Diese verletzte Verkehrsregel ist BGE 126 I 19 S. 24 nach dem obergerichtlichen Urteil eine andere als gemäss Anklage und nach dem Urteil des Kantonsgerichtspräsidenten. Verschiedene Verkehrsverstösse sind in der Regel keine gleichartigen Erscheinungsformen derselben Tat (vgl. zur Rechtslage in Deutschland, wo dies nach § 265 StPO einen Hinweis vor einer Verurteilung wegen eines anderen Verkehrsverstosses notwendig macht, PETER RIESS in: LÖWE-ROSENBERG, Die Strafprozessordnung und das Gerichtsverfassungsgesetz, 24. Auflage, 1987, N. 39 zu § 265, mit Hinweisen auf die Rechtsprechung). bb) Wurde der Beschwerdeführer auf Grund eines anderen Straftatbestands als in der Anklage beantragt verurteilt, ist zu prüfen, ob er mit der beabsichtigten neuen rechtlichen Würdigung rechnen musste (vgl. vorne E. 2c/aa; BGE 116 Ia 455 E. 3cc S. 458). Dies muss auf Grund aller Umstände des konkreten Falles beurteilt werden (vgl. auch BGE 111 Ia 101 E. 2b S. 103 f.). Musste er nicht damit rechnen, ist das angefochtene Urteil grundsätzlich wegen Verletzung des Anspruchs auf rechtliches Gehör aufzuheben. Ausnahmsweise kann eine Verweigerung des rechtlichen Gehörs verneint werden, wenn eine Anhörung zur veränderten rechtlichen Würdigung überhaupt keine Auswirkungen auf die Ausübung seiner Verteidigungsrechte haben konnte. Hingegen ist die Möglichkeit zur Stellungnahme wegen der formellen Natur des Anspruchs auf rechtliches Gehör (vgl. BGE 125 I 113 E. 3 S. 118) unabhängig davon zu gewähren, ob die Argumente, die der Angeklagte hätte vorbringen können, das Strafurteil voraussichtlich geändert hätten oder nicht. e) aa) Einerseits war dem Beschwerdeführer ganz zu Beginn des Strafverfahrens, im Strafbefehl, schon einmal vorgeworfen worden, seine Geschwindigkeit sei unangemessen gewesen. Der schliesslich ausschlaggebende Vorwurf war ihm also bekannt. Dieser wurde jedoch im weiteren Verlauf des Verfahrens nicht einfach zugunsten präziserer Qualifikationen aufgegeben, sondern die Staatsanwaltschaft hielt ausdrücklich fest, dem Beschwerdeführer könne keine unangemessene Geschwindigkeit vorgeworfen werden. Er sei in der Lage gewesen, sein Fahrzeug innert halber Sichtweite anzuhalten. Es ist auch nicht ersichtlich, dass die Geschwindigkeit, mit der er fuhr, bei der Anschlussappellation und ihrer Begründung in der Verhandlung vor Obergericht irgend eine Rolle gespielt hätte. Die Staatsanwaltschaft warf ihm ja vor, dass er überhaupt auf die Brücke gefahren sei und nicht vor ihr gewartet habe bzw. zu einer Ausweichstelle zurückgefahren sei. Der Beschwerdeführer musste somit BGE 126 I 19 S. 25 nicht damit rechnen, dass ihm vorgeworfen würde, er sei zu schnell gefahren. bb) Wenn der Beschwerdeführer auf die Möglichkeit hingewiesen worden wäre, dass ihm eine unangemessene Geschwindigkeit vorgeworfen werden könnte, hätte er auch tatsächlich zusätzliche Argumente zu seiner Verteidigung vorbringen können. Er hätte zu den vom Obergericht herbeigezogenen Umständen und Überlegungen, warum diese Geschwindigkeit unangemessen gewesen sei, Stellung nehmen können. So hätte er vorbringen können, dass sein Fahrzeug gemäss der Anklage und dem Urteil des Kantonsgerichtspräsidenten zum Kollisionszeitpunkt stillgestanden sei, was nachträglich zeige, dass seine Geschwindigkeit nicht unangemessen gewesen sei. Wenn er gewusst hätte, dass seine Geschwindigkeit zu bewerten war, hätte er auch darauf hinweisen können, dass in der Anklage berechnet und ausgeführt werde, er habe auf halbe Sichtweite anhalten können. Er hätte jedenfalls seine Auffassung über die Sichtweite vorbringen und entsprechende Beweisanträge stellen können. f) Zusammenfassend musste der Beschwerdeführer in der konkreten Situation seines Strafverfahrens nicht mit einer Verurteilung wegen unangemessener Geschwindigkeit rechnen, und die unterlassene Anhörung hatte Auswirkungen auf seine Verteidigungsrechte. Daher verstiess es gegen seinen Anspruch auf rechtliches Gehör, dass ihm das Obergericht keine Gelegenheit gab, zur in Aussicht genommenen neuen rechtlichen Qualifikation des ihm vorgeworfenen Sachverhalts Stellung zu nehmen. Die Beschwerde ist somit gutzuheissen und das angefochtene Urteil aufzuheben. Daher erübrigt sich ein Eingehen auf die übrigen Rügen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